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枣庄南郊热电有限公司</w:t>
      </w:r>
      <w:bookmarkStart w:id="0" w:name="_GoBack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  <w:bookmarkEnd w:id="0"/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刘培刚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91370400752679992Q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枣庄市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市中区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枣庄市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市中区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永安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山东省枣庄经济开发区长江路26号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117,30,51.70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/34,49,53.11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6323759828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张超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13561169926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277100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小型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热电联产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4412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EA-EC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20"/>
        <w:gridCol w:w="1321"/>
        <w:gridCol w:w="1369"/>
        <w:gridCol w:w="1175"/>
        <w:gridCol w:w="1207"/>
        <w:gridCol w:w="1875"/>
        <w:gridCol w:w="2533"/>
        <w:gridCol w:w="687"/>
        <w:gridCol w:w="1188"/>
        <w:gridCol w:w="1353"/>
        <w:gridCol w:w="1360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循环流化床锅炉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3号锅炉烟气排放口(DA001)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林格曼黑度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上限:1mg/Nm3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山东省火电厂大气污染物排放标准DB37／ 664-2019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固定污染源排放烟气黑度的测定 林格曼烟气黑度图法HJ/T 398-2007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循环流化床锅炉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3号锅炉烟气排放口(DA001)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上限:35mg/Nm3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山东省火电厂大气污染物排放标准DB37／ 664-2019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固定污染源排气中二氧化硫的测定 定电位电解法 HJ/T 57-2000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CEMS-200型烟气自动监测仪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循环流化床锅炉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3号锅炉烟气排放口(DA001)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烟尘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上限:5mg/Nm3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山东省火电厂大气污染物排放标准DB37／ 664-2019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</w:t>
            </w:r>
            <w:r>
              <w:rPr>
                <w:rFonts w:hint="eastAsia"/>
              </w:rPr>
              <w:lastRenderedPageBreak/>
              <w:t>GB/T 16157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CEMS-200型烟气自动检测仪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循环流化床锅炉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3号锅炉烟气排放口(DA001)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山东省火电厂大气污染物排放标准DB37／ 664-2019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固定污染源废气 氮氧化物的测定 定电位电解法HJ 693-2014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CEMS-200型烟气自动监测仪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循环流化床锅炉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3号锅炉烟气排放口(DA001)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汞及其化合物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上限:0.03mg/Nm3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山东省火电厂大气污染物排放标准DB37／ 664-2019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固定污染源废气 汞的测定 冷原子吸收分光光度法 (暂行)HJ 543—2009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循环流化床锅炉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1、2号锅炉烟气排放口(DA002)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山东省火电厂大气污染物排放标准DB37／ 664-2019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固定污染源废气 氮氧化物的测定 定电位电解法HJ 693-2014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CEMS-200型烟气自动监测仪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循环流化床锅炉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1、2号锅炉烟气排放口</w:t>
            </w:r>
            <w:r>
              <w:rPr>
                <w:rFonts w:hint="eastAsia"/>
              </w:rPr>
              <w:lastRenderedPageBreak/>
              <w:t>(DA002)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汞及其化合物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上限:0.03mg/Nm3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山东省火电厂大气污染物排放标准DB37／ 664-2019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固定污染源废气 汞的测定 冷</w:t>
            </w:r>
            <w:r>
              <w:rPr>
                <w:rFonts w:hint="eastAsia"/>
              </w:rPr>
              <w:lastRenderedPageBreak/>
              <w:t>原子吸收分光光度法 (暂行)HJ 543—2009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循环流化床锅炉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1、2号锅炉烟气排放口(DA002)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烟尘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上限:5mg/Nm3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山东省火电厂大气污染物排放标准DB37／ 664-2019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固定污染源排气中颗粒物测定与气态污染物采样方法GB/T 16157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CEMS-200型烟气自动检测仪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循环流化床锅炉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1、2号锅炉烟气排放口(DA002)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林格曼黑度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上限:1mg/Nm3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山东省火电厂大气污染物排放标准DB37／ 664-2019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固定污染源排放烟气黑度的测定 林格曼烟气黑度图法HJ/T 398-2007</w:t>
            </w:r>
          </w:p>
        </w:tc>
        <w:tc>
          <w:tcPr>
            <w:tcW w:w="1399" w:type="dxa"/>
          </w:tcPr>
          <w:p w:rsidR="008B1FB9" w:rsidRDefault="008B1FB9" w:rsidP="008B1FB9"/>
        </w:tc>
      </w:tr>
      <w:tr w:rsidR="008B1FB9" w:rsidTr="00A15DF7">
        <w:tc>
          <w:tcPr>
            <w:tcW w:w="1398" w:type="dxa"/>
          </w:tcPr>
          <w:p w:rsidR="008B1FB9" w:rsidRDefault="003B53B4" w:rsidP="008B1FB9">
            <w:r>
              <w:rPr>
                <w:rFonts w:hint="eastAsia"/>
              </w:rPr>
              <w:t>循环流化床锅炉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:rsidR="008B1FB9" w:rsidRDefault="003B53B4" w:rsidP="008B1FB9">
            <w:r>
              <w:rPr>
                <w:rFonts w:hint="eastAsia"/>
              </w:rPr>
              <w:t>1、2号锅炉烟气排放口(DA002)</w:t>
            </w:r>
          </w:p>
        </w:tc>
        <w:tc>
          <w:tcPr>
            <w:tcW w:w="1276" w:type="dxa"/>
          </w:tcPr>
          <w:p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:rsidR="008B1FB9" w:rsidRDefault="003B53B4" w:rsidP="008B1FB9">
            <w:r>
              <w:rPr>
                <w:rFonts w:hint="eastAsia"/>
              </w:rPr>
              <w:t>上限:35mg/Nm3</w:t>
            </w:r>
          </w:p>
        </w:tc>
        <w:tc>
          <w:tcPr>
            <w:tcW w:w="2694" w:type="dxa"/>
          </w:tcPr>
          <w:p w:rsidR="008B1FB9" w:rsidRDefault="003B53B4" w:rsidP="008B1FB9">
            <w:r>
              <w:rPr>
                <w:rFonts w:hint="eastAsia"/>
              </w:rPr>
              <w:t>山东省火电厂大气污染物排放标准DB37／ 664-2019</w:t>
            </w:r>
          </w:p>
        </w:tc>
        <w:tc>
          <w:tcPr>
            <w:tcW w:w="708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t xml:space="preserve">固定污染源排气中二氧化硫的测定 定电位电解法 HJ/T </w:t>
            </w:r>
            <w:r>
              <w:rPr>
                <w:rFonts w:hint="eastAsia"/>
              </w:rPr>
              <w:lastRenderedPageBreak/>
              <w:t>57-2000</w:t>
            </w:r>
          </w:p>
        </w:tc>
        <w:tc>
          <w:tcPr>
            <w:tcW w:w="1399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CEMS-200型烟气自动监测仪</w:t>
            </w:r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34"/>
        <w:gridCol w:w="1395"/>
        <w:gridCol w:w="1557"/>
        <w:gridCol w:w="2187"/>
        <w:gridCol w:w="1187"/>
        <w:gridCol w:w="1262"/>
        <w:gridCol w:w="1935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总铬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上限:1.5mg/L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总铬的测定 高锰酸钾氧化-二苯碳酰二肼分光光度法 GB/T 7466-1987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氟化物（以F-计）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上限:30mg/L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氟化物的测定 氟试剂分光光度法HJ 488—2009 代替GB 7483—87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上限:9无量纲下限:6无量纲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pH值的测定 玻璃电极法 GB 6920-1986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总锌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上限:2.0mg/L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铜、锌、铅、镉的测定 原子吸收分光光度法GB 7475-87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上限:1.5mg/L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铜、锌、铅、镉的测定 原子吸收分光光度法GB 7475-87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总砷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总砷的测定 二乙基二硫代氨基甲酸银分光光度法GB 7485-87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硫化物的测定 气相分子吸收光谱法 HJ/T 200-2005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上限:150mg/L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化学需氧量的测定 重铬酸盐法 HJ 828-2017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总镍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镍的测定 火焰原子吸收分光光度法GB 11912-89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总汞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 xml:space="preserve">火电厂石灰石-石膏湿法脱硫废水水质控制指标DL T </w:t>
            </w:r>
            <w:r>
              <w:rPr>
                <w:rFonts w:hint="eastAsia"/>
              </w:rPr>
              <w:lastRenderedPageBreak/>
              <w:t>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 xml:space="preserve">水质 总汞的测定 高锰酸钾-过硫酸钾消解法 </w:t>
            </w:r>
            <w:r>
              <w:rPr>
                <w:rFonts w:hint="eastAsia"/>
              </w:rPr>
              <w:lastRenderedPageBreak/>
              <w:t>双硫腙分光光度法GB 7469-87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总铅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铜、锌、铅、镉的测定 原子吸收分光光度法GB 7475-87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脱硫废水排放口(DW007)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上限:70mg/L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火电厂石灰石-石膏湿法脱硫废水水质控制指标DL T 997-2006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悬浮物的测定 重量法 GB 11901-1989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挥发酚的测定 溴化容量法 HJ 502-2009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总氮（以N计）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上限:70mg/L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总氮的测定 流动注射-盐酸萘乙二胺分光光度法HJ 668-2013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总磷（以P计）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上限:8mg/L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总磷的测定 流动注射-钼酸铵分光光度法HJ 671-2013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上限:500mg/L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化学需氧量的测定 快速消解分光光度法 HJ/T 399-2007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氟化物（以F-计）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氟化物的测定 氟试剂分光光度法HJ 488—2009 代替GB 7483—87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硫酸盐（以SO42-计）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上限:400mg/L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硫酸盐的测定 铬酸钡分光光度法(试行)HJ/T 342─2007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石油类和动植物油类的测定 红外分光光度法（HJ637-2018）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上限:400mg/L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悬浮物的测定 重量法 GB 11901-1989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</w:t>
            </w:r>
            <w:r>
              <w:rPr>
                <w:rFonts w:hint="eastAsia"/>
              </w:rPr>
              <w:lastRenderedPageBreak/>
              <w:t>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pH值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上限:9.5无</w:t>
            </w:r>
            <w:r>
              <w:rPr>
                <w:rFonts w:hint="eastAsia"/>
              </w:rPr>
              <w:lastRenderedPageBreak/>
              <w:t>量纲下限:6.5无量纲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污水排入城镇下水</w:t>
            </w:r>
            <w:r>
              <w:rPr>
                <w:rFonts w:hint="eastAsia"/>
              </w:rPr>
              <w:lastRenderedPageBreak/>
              <w:t>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pH值的测</w:t>
            </w:r>
            <w:r>
              <w:rPr>
                <w:rFonts w:hint="eastAsia"/>
              </w:rPr>
              <w:lastRenderedPageBreak/>
              <w:t>定 玻璃电极法 GB 6920-1986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lastRenderedPageBreak/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硫化物的测定 气相分子吸收光谱法 HJ/T 200-2005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溶解性总固体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上限:1500mg/L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溶解性总固体的测定GB 11901-1989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生活污水排放口(DW008)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上限:45mg/L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氨氮的测定 流动注射-水杨酸分光光度法HJ 666-2013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循环冷却水排放口(DW006)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上限:9.5无量纲下限:6.5无量纲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pH值的测定 玻璃电极法 GB 6920-1986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循环冷却水排放口(DW006)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流量</w:t>
            </w:r>
          </w:p>
        </w:tc>
        <w:tc>
          <w:tcPr>
            <w:tcW w:w="1275" w:type="dxa"/>
          </w:tcPr>
          <w:p w:rsidR="003B53B4" w:rsidRDefault="003B53B4" w:rsidP="00D04F93"/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流量计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循环冷却水排放口(DW006)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上限:500mg/L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化学需氧量的测定 重铬酸盐法 HJ 828-2017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r>
              <w:rPr>
                <w:rFonts w:hint="eastAsia"/>
              </w:rPr>
              <w:t>循环冷却水排放口(DW006)</w:t>
            </w:r>
          </w:p>
        </w:tc>
        <w:tc>
          <w:tcPr>
            <w:tcW w:w="1418" w:type="dxa"/>
          </w:tcPr>
          <w:p w:rsidR="003B53B4" w:rsidRDefault="00443BF4" w:rsidP="00D04F93">
            <w:r>
              <w:rPr>
                <w:rFonts w:hint="eastAsia"/>
              </w:rPr>
              <w:t>总磷（以P计）</w:t>
            </w:r>
          </w:p>
        </w:tc>
        <w:tc>
          <w:tcPr>
            <w:tcW w:w="1275" w:type="dxa"/>
          </w:tcPr>
          <w:p w:rsidR="003B53B4" w:rsidRDefault="00443BF4" w:rsidP="00D04F93">
            <w:r>
              <w:rPr>
                <w:rFonts w:hint="eastAsia"/>
              </w:rPr>
              <w:t>上限:8mg/L</w:t>
            </w:r>
          </w:p>
        </w:tc>
        <w:tc>
          <w:tcPr>
            <w:tcW w:w="2268" w:type="dxa"/>
          </w:tcPr>
          <w:p w:rsidR="003B53B4" w:rsidRDefault="00443BF4" w:rsidP="00D04F93">
            <w:r>
              <w:rPr>
                <w:rFonts w:hint="eastAsia"/>
              </w:rPr>
              <w:t>污水排入城镇下水道水质标准GB/T 31962-2015</w:t>
            </w:r>
          </w:p>
        </w:tc>
        <w:tc>
          <w:tcPr>
            <w:tcW w:w="1236" w:type="dxa"/>
          </w:tcPr>
          <w:p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D04F9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D04F93">
            <w:r>
              <w:rPr>
                <w:rFonts w:hint="eastAsia"/>
              </w:rPr>
              <w:t>水质 磷酸盐和总磷的测定 连续流动-钼酸铵分光光度法HJ 670-2013</w:t>
            </w:r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14"/>
        <w:gridCol w:w="1377"/>
        <w:gridCol w:w="1573"/>
        <w:gridCol w:w="2191"/>
        <w:gridCol w:w="1203"/>
        <w:gridCol w:w="1280"/>
        <w:gridCol w:w="1919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氨罐周边上风向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氨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上限:1.0mg/m3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厂界上风向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上限:1.0mg/m3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大气污染物综合排放标准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氨罐周边下风向1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氨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上限:1.0mg/m3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厂界下风向1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443BF4" w:rsidRDefault="00443BF4" w:rsidP="00443BF4"/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大气污染物综合排放标准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氨罐周边下风向2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氨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上限:1.0mg/m3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厂界下风向2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上限:1.0mg/m3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大气污染物综合排放标准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氨罐周边下风向3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氨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上限:1.0mg/m3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厂界下风向3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上限:1.0mg/m3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大气污染物综合排放标准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50"/>
        <w:gridCol w:w="1409"/>
        <w:gridCol w:w="1339"/>
        <w:gridCol w:w="2252"/>
        <w:gridCol w:w="1229"/>
        <w:gridCol w:w="1308"/>
        <w:gridCol w:w="1970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东厂界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上限:60;45dB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西厂界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上限:60;45dB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南厂界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上限:60;45dB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  <w:tr w:rsidR="00443BF4" w:rsidTr="00D04F93">
        <w:tc>
          <w:tcPr>
            <w:tcW w:w="1560" w:type="dxa"/>
          </w:tcPr>
          <w:p w:rsidR="00443BF4" w:rsidRDefault="00443BF4" w:rsidP="00443BF4">
            <w:r>
              <w:rPr>
                <w:rFonts w:hint="eastAsia"/>
              </w:rPr>
              <w:t>北厂界</w:t>
            </w:r>
          </w:p>
        </w:tc>
        <w:tc>
          <w:tcPr>
            <w:tcW w:w="1418" w:type="dxa"/>
          </w:tcPr>
          <w:p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:rsidR="00443BF4" w:rsidRDefault="00443BF4" w:rsidP="00443BF4">
            <w:r>
              <w:rPr>
                <w:rFonts w:hint="eastAsia"/>
              </w:rPr>
              <w:t>上限:60;45dB</w:t>
            </w:r>
          </w:p>
        </w:tc>
        <w:tc>
          <w:tcPr>
            <w:tcW w:w="2268" w:type="dxa"/>
          </w:tcPr>
          <w:p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443BF4" w:rsidRDefault="00443BF4" w:rsidP="00443BF4"/>
        </w:tc>
      </w:tr>
    </w:tbl>
    <w:p w:rsidR="004A1C3F" w:rsidRDefault="004A1C3F" w:rsidP="00443BF4">
      <w:p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Pr="00443BF4" w:rsidRDefault="00443BF4" w:rsidP="00443BF4"/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r>
              <w:rPr>
                <w:rFonts w:hint="eastAsia"/>
              </w:rPr>
              <w:t>生产厂家</w:t>
            </w:r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CEMS-200型烟气自动监测仪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CEMS-200型烟气自动检测仪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CEMS-200型烟气自动监测仪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CEMS-200型烟气自动监测仪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CEMS-200型烟气自动检测仪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CEMS-200型烟气自动监测仪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喷淋塔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循环流化床锅炉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石灰石-石膏湿法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除尘器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循环流化床锅炉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电袋复合除尘器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脱硝系统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循环流化床锅炉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SNCR</w:t>
            </w:r>
          </w:p>
        </w:tc>
        <w:tc>
          <w:tcPr>
            <w:tcW w:w="2092" w:type="dxa"/>
          </w:tcPr>
          <w:p w:rsidR="004A1C3F" w:rsidRDefault="000A2111" w:rsidP="004A1C3F">
            <w:r>
              <w:rPr>
                <w:rFonts w:hint="eastAsia"/>
              </w:rPr>
              <w:t>null%</w:t>
            </w:r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/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621" w:rsidRDefault="00366621" w:rsidP="001E34AF">
      <w:r>
        <w:separator/>
      </w:r>
    </w:p>
  </w:endnote>
  <w:endnote w:type="continuationSeparator" w:id="0">
    <w:p w:rsidR="00366621" w:rsidRDefault="00366621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621" w:rsidRDefault="00366621" w:rsidP="001E34AF">
      <w:r>
        <w:separator/>
      </w:r>
    </w:p>
  </w:footnote>
  <w:footnote w:type="continuationSeparator" w:id="0">
    <w:p w:rsidR="00366621" w:rsidRDefault="00366621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66621"/>
    <w:rsid w:val="003B53B4"/>
    <w:rsid w:val="00420EB2"/>
    <w:rsid w:val="00443BF4"/>
    <w:rsid w:val="00471402"/>
    <w:rsid w:val="004A1C3F"/>
    <w:rsid w:val="00751913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75191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51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12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DQ</cp:lastModifiedBy>
  <cp:revision>1</cp:revision>
  <cp:lastPrinted>2023-12-13T18:46:00Z</cp:lastPrinted>
  <dcterms:created xsi:type="dcterms:W3CDTF">2019-03-15T07:57:00Z</dcterms:created>
  <dcterms:modified xsi:type="dcterms:W3CDTF">2023-12-13T18:46:00Z</dcterms:modified>
</cp:coreProperties>
</file>